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F6623" w14:textId="710201B4" w:rsidR="00F117E9" w:rsidRDefault="00F117E9" w:rsidP="00F117E9">
      <w:pPr>
        <w:spacing w:before="100" w:beforeAutospacing="1" w:after="100" w:afterAutospacing="1" w:line="240" w:lineRule="auto"/>
        <w:textAlignment w:val="baseline"/>
        <w:rPr>
          <w:rFonts w:ascii="Georgia" w:hAnsi="Georgia"/>
          <w:b/>
          <w:bCs/>
          <w:color w:val="000000"/>
          <w:sz w:val="28"/>
          <w:szCs w:val="28"/>
          <w:shd w:val="clear" w:color="auto" w:fill="FFFFFF"/>
        </w:rPr>
      </w:pPr>
      <w:r w:rsidRPr="00F117E9">
        <w:rPr>
          <w:rFonts w:ascii="Georgia" w:hAnsi="Georgia"/>
          <w:b/>
          <w:bCs/>
          <w:color w:val="000000"/>
          <w:sz w:val="28"/>
          <w:szCs w:val="28"/>
          <w:shd w:val="clear" w:color="auto" w:fill="FFFFFF"/>
        </w:rPr>
        <w:t>How to increase project success with collaborative project delivery: Collaborative project delivery is a process in which all project team members, including the construction team, integrate and communicate ahead of their prospective actionable roles</w:t>
      </w:r>
    </w:p>
    <w:p w14:paraId="7508450F" w14:textId="594E353A" w:rsidR="00F117E9" w:rsidRDefault="00F117E9" w:rsidP="00F117E9">
      <w:pPr>
        <w:spacing w:before="100" w:beforeAutospacing="1" w:after="100" w:afterAutospacing="1" w:line="240" w:lineRule="auto"/>
        <w:textAlignment w:val="baseline"/>
        <w:rPr>
          <w:rFonts w:ascii="Georgia" w:hAnsi="Georgia"/>
          <w:b/>
          <w:bCs/>
          <w:color w:val="000000"/>
          <w:sz w:val="28"/>
          <w:szCs w:val="28"/>
          <w:shd w:val="clear" w:color="auto" w:fill="FFFFFF"/>
        </w:rPr>
      </w:pPr>
    </w:p>
    <w:p w14:paraId="1C2E7B1A" w14:textId="77777777" w:rsidR="00F117E9" w:rsidRDefault="00F117E9" w:rsidP="00F117E9">
      <w:pPr>
        <w:spacing w:after="0" w:line="240" w:lineRule="auto"/>
        <w:rPr>
          <w:rFonts w:ascii="Georgia" w:hAnsi="Georgia"/>
          <w:b/>
          <w:bCs/>
          <w:color w:val="000000"/>
          <w:sz w:val="28"/>
          <w:szCs w:val="28"/>
          <w:shd w:val="clear" w:color="auto" w:fill="FFFFFF"/>
        </w:rPr>
      </w:pPr>
      <w:proofErr w:type="gramStart"/>
      <w:r>
        <w:rPr>
          <w:rFonts w:ascii="Georgia" w:hAnsi="Georgia"/>
          <w:b/>
          <w:bCs/>
          <w:color w:val="000000"/>
          <w:sz w:val="28"/>
          <w:szCs w:val="28"/>
          <w:shd w:val="clear" w:color="auto" w:fill="FFFFFF"/>
        </w:rPr>
        <w:t>Reference :</w:t>
      </w:r>
      <w:proofErr w:type="gramEnd"/>
    </w:p>
    <w:p w14:paraId="21B40CB9" w14:textId="53310F8D" w:rsidR="00F117E9" w:rsidRPr="00663F00" w:rsidRDefault="00F117E9" w:rsidP="00F117E9">
      <w:pPr>
        <w:spacing w:after="0" w:line="240" w:lineRule="auto"/>
      </w:pPr>
      <w:r>
        <w:rPr>
          <w:rFonts w:ascii="Georgia" w:hAnsi="Georgia"/>
          <w:b/>
          <w:bCs/>
          <w:color w:val="000000"/>
          <w:sz w:val="28"/>
          <w:szCs w:val="28"/>
          <w:shd w:val="clear" w:color="auto" w:fill="FFFFFF"/>
        </w:rPr>
        <w:t xml:space="preserve"> </w:t>
      </w:r>
      <w:r>
        <w:rPr>
          <w:rFonts w:ascii="Arial" w:hAnsi="Arial" w:cs="Arial"/>
          <w:color w:val="333333"/>
          <w:shd w:val="clear" w:color="auto" w:fill="FFFFFF"/>
        </w:rPr>
        <w:t xml:space="preserve">Goss, M., </w:t>
      </w:r>
      <w:proofErr w:type="spellStart"/>
      <w:r>
        <w:rPr>
          <w:rFonts w:ascii="Arial" w:hAnsi="Arial" w:cs="Arial"/>
          <w:color w:val="333333"/>
          <w:shd w:val="clear" w:color="auto" w:fill="FFFFFF"/>
        </w:rPr>
        <w:t>Vecchiarello</w:t>
      </w:r>
      <w:proofErr w:type="spellEnd"/>
      <w:r>
        <w:rPr>
          <w:rFonts w:ascii="Arial" w:hAnsi="Arial" w:cs="Arial"/>
          <w:color w:val="333333"/>
          <w:shd w:val="clear" w:color="auto" w:fill="FFFFFF"/>
        </w:rPr>
        <w:t xml:space="preserve">, M., &amp; </w:t>
      </w:r>
      <w:proofErr w:type="spellStart"/>
      <w:r>
        <w:rPr>
          <w:rFonts w:ascii="Arial" w:hAnsi="Arial" w:cs="Arial"/>
          <w:color w:val="333333"/>
          <w:shd w:val="clear" w:color="auto" w:fill="FFFFFF"/>
        </w:rPr>
        <w:t>Heiningen</w:t>
      </w:r>
      <w:proofErr w:type="spellEnd"/>
      <w:r>
        <w:rPr>
          <w:rFonts w:ascii="Arial" w:hAnsi="Arial" w:cs="Arial"/>
          <w:color w:val="333333"/>
          <w:shd w:val="clear" w:color="auto" w:fill="FFFFFF"/>
        </w:rPr>
        <w:t xml:space="preserve">, K. V. (2018). How to increase project success with collaborative project delivery: Collaborative project delivery is a process in which all project team members, including the construction team, integrate and communicate ahead of their prospective actionable roles. </w:t>
      </w:r>
      <w:r>
        <w:rPr>
          <w:rFonts w:ascii="&amp;quot" w:hAnsi="&amp;quot"/>
          <w:i/>
          <w:iCs/>
          <w:color w:val="333333"/>
          <w:bdr w:val="none" w:sz="0" w:space="0" w:color="auto" w:frame="1"/>
        </w:rPr>
        <w:t>Consulting Specifying Engineer</w:t>
      </w:r>
      <w:r>
        <w:rPr>
          <w:rFonts w:ascii="Arial" w:hAnsi="Arial" w:cs="Arial"/>
          <w:color w:val="333333"/>
          <w:shd w:val="clear" w:color="auto" w:fill="FFFFFF"/>
        </w:rPr>
        <w:t xml:space="preserve">, </w:t>
      </w:r>
      <w:r>
        <w:rPr>
          <w:rFonts w:ascii="&amp;quot" w:hAnsi="&amp;quot"/>
          <w:i/>
          <w:iCs/>
          <w:color w:val="333333"/>
          <w:bdr w:val="none" w:sz="0" w:space="0" w:color="auto" w:frame="1"/>
        </w:rPr>
        <w:t>55</w:t>
      </w:r>
      <w:r>
        <w:rPr>
          <w:rFonts w:ascii="Arial" w:hAnsi="Arial" w:cs="Arial"/>
          <w:color w:val="333333"/>
          <w:shd w:val="clear" w:color="auto" w:fill="FFFFFF"/>
        </w:rPr>
        <w:t>(9), 30+. Retrieved from https://link-gale-com.libraryresources.columbiasouthern.edu/apps/doc/A561511483/ITBC?u=oran95108&amp;sid=ITBC&amp;xid=c7bc81ce</w:t>
      </w:r>
    </w:p>
    <w:p w14:paraId="285CD7C0" w14:textId="1358DD5E" w:rsidR="00F117E9" w:rsidRDefault="00F117E9" w:rsidP="00F117E9">
      <w:pPr>
        <w:spacing w:before="100" w:beforeAutospacing="1" w:after="100" w:afterAutospacing="1" w:line="240" w:lineRule="auto"/>
        <w:textAlignment w:val="baseline"/>
        <w:rPr>
          <w:rFonts w:ascii="Georgia" w:hAnsi="Georgia"/>
          <w:b/>
          <w:bCs/>
          <w:color w:val="000000"/>
          <w:sz w:val="28"/>
          <w:szCs w:val="28"/>
          <w:shd w:val="clear" w:color="auto" w:fill="FFFFFF"/>
        </w:rPr>
      </w:pPr>
      <w:bookmarkStart w:id="0" w:name="_GoBack"/>
      <w:bookmarkEnd w:id="0"/>
    </w:p>
    <w:p w14:paraId="156BF947" w14:textId="6A46E871" w:rsidR="00F117E9" w:rsidRDefault="00F117E9" w:rsidP="00F117E9">
      <w:pPr>
        <w:spacing w:before="100" w:beforeAutospacing="1" w:after="100" w:afterAutospacing="1" w:line="240" w:lineRule="auto"/>
        <w:textAlignment w:val="baseline"/>
        <w:rPr>
          <w:rFonts w:ascii="Georgia" w:hAnsi="Georgia"/>
          <w:b/>
          <w:bCs/>
          <w:color w:val="000000"/>
          <w:sz w:val="28"/>
          <w:szCs w:val="28"/>
          <w:shd w:val="clear" w:color="auto" w:fill="FFFFFF"/>
        </w:rPr>
      </w:pPr>
    </w:p>
    <w:p w14:paraId="3D50141D"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b/>
          <w:bCs/>
          <w:color w:val="000000"/>
          <w:sz w:val="28"/>
          <w:szCs w:val="28"/>
        </w:rPr>
      </w:pPr>
    </w:p>
    <w:p w14:paraId="55AF904B" w14:textId="77777777" w:rsid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p>
    <w:p w14:paraId="0199A520" w14:textId="030E466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A project can be deemed successful only after the project is completed and the owner has used, occupied, and operated the systems within the building. The steps and processes taken to ensure a project's success occur </w:t>
      </w:r>
      <w:r w:rsidRPr="00F117E9">
        <w:rPr>
          <w:rFonts w:ascii="&amp;quot" w:eastAsia="Times New Roman" w:hAnsi="&amp;quot" w:cs="Times New Roman"/>
          <w:color w:val="D54405"/>
          <w:sz w:val="24"/>
          <w:szCs w:val="24"/>
        </w:rPr>
        <w:t>throughout</w:t>
      </w:r>
      <w:r w:rsidRPr="00F117E9">
        <w:rPr>
          <w:rFonts w:ascii="&amp;quot" w:eastAsia="Times New Roman" w:hAnsi="&amp;quot" w:cs="Times New Roman"/>
          <w:color w:val="000000"/>
          <w:sz w:val="24"/>
          <w:szCs w:val="24"/>
        </w:rPr>
        <w:t xml:space="preserve"> </w:t>
      </w:r>
      <w:r w:rsidRPr="00F117E9">
        <w:rPr>
          <w:rFonts w:ascii="&amp;quot" w:eastAsia="Times New Roman" w:hAnsi="&amp;quot" w:cs="Times New Roman"/>
          <w:color w:val="D54405"/>
          <w:sz w:val="24"/>
          <w:szCs w:val="24"/>
        </w:rPr>
        <w:t>the</w:t>
      </w:r>
      <w:r w:rsidRPr="00F117E9">
        <w:rPr>
          <w:rFonts w:ascii="&amp;quot" w:eastAsia="Times New Roman" w:hAnsi="&amp;quot" w:cs="Times New Roman"/>
          <w:color w:val="000000"/>
          <w:sz w:val="24"/>
          <w:szCs w:val="24"/>
        </w:rPr>
        <w:t xml:space="preserve"> total </w:t>
      </w:r>
      <w:r w:rsidRPr="00F117E9">
        <w:rPr>
          <w:rFonts w:ascii="&amp;quot" w:eastAsia="Times New Roman" w:hAnsi="&amp;quot" w:cs="Times New Roman"/>
          <w:color w:val="D54405"/>
          <w:sz w:val="24"/>
          <w:szCs w:val="24"/>
        </w:rPr>
        <w:t>project</w:t>
      </w:r>
      <w:r w:rsidRPr="00F117E9">
        <w:rPr>
          <w:rFonts w:ascii="&amp;quot" w:eastAsia="Times New Roman" w:hAnsi="&amp;quot" w:cs="Times New Roman"/>
          <w:color w:val="000000"/>
          <w:sz w:val="24"/>
          <w:szCs w:val="24"/>
        </w:rPr>
        <w:t xml:space="preserve"> delivery process, particularly at project inception and during the initial planning phases. </w:t>
      </w:r>
    </w:p>
    <w:p w14:paraId="7E6069E1"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Collaborative project delivery is a process in which all project team members integrate and communicate ahead of their prospective actionable roles, and it is key to project success. The success of the delivery process itself can be a strong indicator of overall project outcome. </w:t>
      </w:r>
    </w:p>
    <w:p w14:paraId="53CAD1DA"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It is important to indicate what consists of a collaborative project team. A collaborative project team consists of various key team members including the project's owner, the project manager, function group engineers (i.e., mechanical, electrical, structural, civil, geotechnical, and environmental), architects, the commissioning agent, the construction manager, the construction cost estimator, the BIM coordinator, and the specifications team. </w:t>
      </w:r>
    </w:p>
    <w:p w14:paraId="26E179FB"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On some projects, this group could be expanded to include permitting experts and expeditors as well as third-party participants, such as independent reviewers or the program manager. Often, project teams do not execute in a collaborative fashion. Instead, they tend to get too far into the deliverable processes before involving other key team </w:t>
      </w:r>
      <w:r w:rsidRPr="00F117E9">
        <w:rPr>
          <w:rFonts w:ascii="&amp;quot" w:eastAsia="Times New Roman" w:hAnsi="&amp;quot" w:cs="Times New Roman"/>
          <w:color w:val="000000"/>
          <w:sz w:val="24"/>
          <w:szCs w:val="24"/>
        </w:rPr>
        <w:lastRenderedPageBreak/>
        <w:t xml:space="preserve">members outside of their specific knowledge or functional area. This delayed interaction often results in design rework, production-schedule slippage, cost-estimating issues, and a less-than-optimal overall outcome. Cost-estimating issues can manifest themselves in many ways, such as additional costs to the owner as a result of scope creep or through the identification of items not previously coordinated or accounted for. </w:t>
      </w:r>
    </w:p>
    <w:p w14:paraId="3311473C"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Benefits of a collaborative approach </w:t>
      </w:r>
    </w:p>
    <w:p w14:paraId="38E6935A"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By involving key team members in the initial planning and kickoff phases of a project, everyone will have a keen understanding of key project parameters. Key team members should be involved from the initial planning and kickoff phases of a project through each project deliverable and milestone. This allows them to provide their input and remain current with project status and directives. </w:t>
      </w:r>
    </w:p>
    <w:p w14:paraId="00AFB346"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General collaborative project processes and steps often incorporate the following actions and benefits, which allow for the successful delivery of a project: </w:t>
      </w:r>
    </w:p>
    <w:p w14:paraId="6F7D3428"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Project delivery--Depending on when the project team is engaged in the overall project effort, they may have the ability to discuss project delivery options with the owner. If engaged early in the process, the project team can openly review and discuss all potential applicable and appropriate project delivery options (e.g., design-build, construction manager at risk, design-bid-build, progressive design-build) available for the specific undertaking. </w:t>
      </w:r>
    </w:p>
    <w:p w14:paraId="3146D76C"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Openly reviewing and discussing all delivery options as they relate to the owner's needs will allow the most appropriate method to be selected to meet the owner's requirements for schedule and budget. If engaged later in the process, the project team can discuss other applicable options with respect to project delivery, such as phased construction, early work packages, etc. Only through the collaborative process can the optimal delivery approach be determined. </w:t>
      </w:r>
    </w:p>
    <w:p w14:paraId="05C3170A"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Collaboration through all phases of construction --Too often, </w:t>
      </w:r>
      <w:proofErr w:type="spellStart"/>
      <w:r w:rsidRPr="00F117E9">
        <w:rPr>
          <w:rFonts w:ascii="&amp;quot" w:eastAsia="Times New Roman" w:hAnsi="&amp;quot" w:cs="Times New Roman"/>
          <w:color w:val="000000"/>
          <w:sz w:val="24"/>
          <w:szCs w:val="24"/>
        </w:rPr>
        <w:t>constructibility</w:t>
      </w:r>
      <w:proofErr w:type="spellEnd"/>
      <w:r w:rsidRPr="00F117E9">
        <w:rPr>
          <w:rFonts w:ascii="&amp;quot" w:eastAsia="Times New Roman" w:hAnsi="&amp;quot" w:cs="Times New Roman"/>
          <w:color w:val="000000"/>
          <w:sz w:val="24"/>
          <w:szCs w:val="24"/>
        </w:rPr>
        <w:t xml:space="preserve"> reviews occur only at specific milestones during the design phase of a project, for example, 60%, 90%, or in some instances, not at all. This late feedback can result in costly redesigns to bring design concepts in line with best construction practices or lessons learned from previous projects. Using a conceptual predesign approach where system selection decisions are made early is typically the ideal method. </w:t>
      </w:r>
    </w:p>
    <w:p w14:paraId="28579514"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Embedding the construction staff in the design development phase by including them in the design processes allows the team to continually evaluate design decisions together and examine and evaluate potential alternatives. This promotes the use of best practices and lessons-learned solutions to construction issues that may have occurred on previous projects. This interaction provides the design engineers and architects with proactive construction feedback to incorporate into the design. This most often materializes as the "means and methods" are determined. </w:t>
      </w:r>
    </w:p>
    <w:p w14:paraId="42FEEDD1"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lastRenderedPageBreak/>
        <w:t xml:space="preserve">For example, review feedback may indicate that a certain equipment selection is too large to fit through a given opening. Typically, this could be addressed through </w:t>
      </w:r>
      <w:proofErr w:type="gramStart"/>
      <w:r w:rsidRPr="00F117E9">
        <w:rPr>
          <w:rFonts w:ascii="&amp;quot" w:eastAsia="Times New Roman" w:hAnsi="&amp;quot" w:cs="Times New Roman"/>
          <w:color w:val="000000"/>
          <w:sz w:val="24"/>
          <w:szCs w:val="24"/>
        </w:rPr>
        <w:t>a number of</w:t>
      </w:r>
      <w:proofErr w:type="gramEnd"/>
      <w:r w:rsidRPr="00F117E9">
        <w:rPr>
          <w:rFonts w:ascii="&amp;quot" w:eastAsia="Times New Roman" w:hAnsi="&amp;quot" w:cs="Times New Roman"/>
          <w:color w:val="000000"/>
          <w:sz w:val="24"/>
          <w:szCs w:val="24"/>
        </w:rPr>
        <w:t xml:space="preserve"> options including phased equipment installation (in which equipment is installed before a building component, like a roof), creating a construction opening, or perhaps selecting smaller equipment. Each may be an acceptable solution, but the optimal project solution can only be identified </w:t>
      </w:r>
      <w:proofErr w:type="gramStart"/>
      <w:r w:rsidRPr="00F117E9">
        <w:rPr>
          <w:rFonts w:ascii="&amp;quot" w:eastAsia="Times New Roman" w:hAnsi="&amp;quot" w:cs="Times New Roman"/>
          <w:color w:val="000000"/>
          <w:sz w:val="24"/>
          <w:szCs w:val="24"/>
        </w:rPr>
        <w:t>through the use of</w:t>
      </w:r>
      <w:proofErr w:type="gramEnd"/>
      <w:r w:rsidRPr="00F117E9">
        <w:rPr>
          <w:rFonts w:ascii="&amp;quot" w:eastAsia="Times New Roman" w:hAnsi="&amp;quot" w:cs="Times New Roman"/>
          <w:color w:val="000000"/>
          <w:sz w:val="24"/>
          <w:szCs w:val="24"/>
        </w:rPr>
        <w:t xml:space="preserve"> project collaboration. </w:t>
      </w:r>
    </w:p>
    <w:p w14:paraId="48F644B1"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More accurate cost estimations--Accurate cost estimating is paramount to a successful project. Whether the project is a traditional design-bid-build or an alternative-delivery project (i.e., design-build/progressive design-build, construction manager at risk), construction cost estimating ensures the design team provides a scope within the client's available budget. Involving the cost-estimating team early during project execution helps the design team, and the client, steer the design and scope to the allowable budget. Preventing these items from being introduced to the project during design helps to minimize potential redesign and drives more efficiently to a final deliverable. </w:t>
      </w:r>
    </w:p>
    <w:p w14:paraId="2AB60502" w14:textId="77777777" w:rsidR="00F117E9" w:rsidRPr="00F117E9" w:rsidRDefault="00F117E9" w:rsidP="00F117E9">
      <w:pPr>
        <w:spacing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noProof/>
          <w:color w:val="000000"/>
          <w:sz w:val="24"/>
          <w:szCs w:val="24"/>
        </w:rPr>
        <w:drawing>
          <wp:inline distT="0" distB="0" distL="0" distR="0" wp14:anchorId="2D5A3C41" wp14:editId="79C64F08">
            <wp:extent cx="5810250" cy="3371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0" cy="3371850"/>
                    </a:xfrm>
                    <a:prstGeom prst="rect">
                      <a:avLst/>
                    </a:prstGeom>
                    <a:noFill/>
                    <a:ln>
                      <a:noFill/>
                    </a:ln>
                  </pic:spPr>
                </pic:pic>
              </a:graphicData>
            </a:graphic>
          </wp:inline>
        </w:drawing>
      </w:r>
    </w:p>
    <w:p w14:paraId="23EAD4E0"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Best practices often include paring up design-team members with their functional cost-estimating counterparts. Doing such allows teams to fill in necessary blanks as the design progresses. For example, early in the design process, detailed information most likely is not available on the drawings that would allow an estimator to do a comprehensive material "take-off " cost estimate and, given the nature of the project, a high-level unit-cost approach may not be entirely appropriate. Working together, design and estimator teams can review the overall scope of the projects and identify components and/or ancillary items not shown or captured, providing for the most appropriate cost-estimating solution. </w:t>
      </w:r>
    </w:p>
    <w:p w14:paraId="02F5633B"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lastRenderedPageBreak/>
        <w:t xml:space="preserve">Collaboration with plant operations--The importance of coordination from conception with operators, commissioning agents, engineers, and contractors will allow for a continuous dialogue and thorough vetting of constructability and operations-related concerns. These interactions during the design process will help minimize, forecast, and identify potential operating issues once construction begins, and they will help ensure continuous plant and facility operations. </w:t>
      </w:r>
    </w:p>
    <w:p w14:paraId="1AEC7759"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proofErr w:type="gramStart"/>
      <w:r w:rsidRPr="00F117E9">
        <w:rPr>
          <w:rFonts w:ascii="&amp;quot" w:eastAsia="Times New Roman" w:hAnsi="&amp;quot" w:cs="Times New Roman"/>
          <w:color w:val="000000"/>
          <w:sz w:val="24"/>
          <w:szCs w:val="24"/>
        </w:rPr>
        <w:t>Similar to</w:t>
      </w:r>
      <w:proofErr w:type="gramEnd"/>
      <w:r w:rsidRPr="00F117E9">
        <w:rPr>
          <w:rFonts w:ascii="&amp;quot" w:eastAsia="Times New Roman" w:hAnsi="&amp;quot" w:cs="Times New Roman"/>
          <w:color w:val="000000"/>
          <w:sz w:val="24"/>
          <w:szCs w:val="24"/>
        </w:rPr>
        <w:t xml:space="preserve"> constructability, early team communication will allow the identification and potential resolution of both "how" and "what if " scenarios. Although this can arise on any project, this is often encountered when completing renovation work on a facility. For example, it was necessary during one renovation to replace the building's main electrical switchgear. However, doing so would require a complete facility shutdown--an outage that would last several days--which was unacceptable to the owner. Through the collaboration process, it was determined that an acceptable solution would be to provide temporary equipment, which would result in a minor outage that would be more manageable. </w:t>
      </w:r>
    </w:p>
    <w:p w14:paraId="7CAB4B8D"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Through the collaboration process, the owner, construction manager, and engineer were able to identify a phased approach, identify appropriate temporary equipment, secure its availability, and identify a location for installation. A more efficient method to maintain operations is to place and energize the switchgear in a new location and have both the new and existing equipment energized while the loads are transferred one at a time. This option is only possible if there is </w:t>
      </w:r>
      <w:proofErr w:type="gramStart"/>
      <w:r w:rsidRPr="00F117E9">
        <w:rPr>
          <w:rFonts w:ascii="&amp;quot" w:eastAsia="Times New Roman" w:hAnsi="&amp;quot" w:cs="Times New Roman"/>
          <w:color w:val="000000"/>
          <w:sz w:val="24"/>
          <w:szCs w:val="24"/>
        </w:rPr>
        <w:t>sufficient</w:t>
      </w:r>
      <w:proofErr w:type="gramEnd"/>
      <w:r w:rsidRPr="00F117E9">
        <w:rPr>
          <w:rFonts w:ascii="&amp;quot" w:eastAsia="Times New Roman" w:hAnsi="&amp;quot" w:cs="Times New Roman"/>
          <w:color w:val="000000"/>
          <w:sz w:val="24"/>
          <w:szCs w:val="24"/>
        </w:rPr>
        <w:t xml:space="preserve"> space in the existing facility to allow both switchgears to operate simultaneously during the transition period of the loads, after which the old switchgear will be demolished. </w:t>
      </w:r>
    </w:p>
    <w:p w14:paraId="527E563C"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Better means, methods, and identification of critical path items--During design and review, collaboration allows the complete project team to propose, discuss, and review constructability options to identify preferred construction methods. The early discussion of these methods will not only allow the design to consider construction methods, but also identify potential options and evaluate them for impacts on the cost, schedule, and resources. </w:t>
      </w:r>
    </w:p>
    <w:p w14:paraId="53BF18EF"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In addition, these reviews will also allow the project team to appropriately identify and review critical-path items and develop plans of action to address any concerns. A best practice to address issues on the critical path, long-lead items can often include equipment pre-purchase. The key, however, is to ensure complete team acceptance and buy-in to resolve any potential issues or conflicts. </w:t>
      </w:r>
    </w:p>
    <w:p w14:paraId="652C5A32"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Collaborative resource (personnel)-loaded scheduling--The use of resource-loaded schedules for both design and construction </w:t>
      </w:r>
      <w:proofErr w:type="gramStart"/>
      <w:r w:rsidRPr="00F117E9">
        <w:rPr>
          <w:rFonts w:ascii="&amp;quot" w:eastAsia="Times New Roman" w:hAnsi="&amp;quot" w:cs="Times New Roman"/>
          <w:color w:val="000000"/>
          <w:sz w:val="24"/>
          <w:szCs w:val="24"/>
        </w:rPr>
        <w:t>allows</w:t>
      </w:r>
      <w:proofErr w:type="gramEnd"/>
      <w:r w:rsidRPr="00F117E9">
        <w:rPr>
          <w:rFonts w:ascii="&amp;quot" w:eastAsia="Times New Roman" w:hAnsi="&amp;quot" w:cs="Times New Roman"/>
          <w:color w:val="000000"/>
          <w:sz w:val="24"/>
          <w:szCs w:val="24"/>
        </w:rPr>
        <w:t xml:space="preserve"> the design-build team to build a schedule more accurately. Identifying the staffing needs of the projects by expertise ensures the availability of human resources to meet the demand of both the design and construction efforts. The resource-loaded schedule combines interdependency and constraints among the various trades for both design and construction to provide a more realistic and accurate schedule. </w:t>
      </w:r>
    </w:p>
    <w:p w14:paraId="718D140A"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lastRenderedPageBreak/>
        <w:t xml:space="preserve">Resource-loaded schedules accurately predict the design and construction timeline, allow for correct identification of resources, identify gaps, and allow the team to make corrective actions early on to mitigate potential schedule slippage. By using work-process indicators, progress can be weighed against the resource-loaded schedule and any appropriate adjustments, such as adding or removing resources, can be allotted to the project as necessary and appropriate. </w:t>
      </w:r>
    </w:p>
    <w:p w14:paraId="4C46C8B4"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By Matthew Goss, PE, CEM, CEA, CDSM, LEED AP BD+C; CDM Smith, Albany, N.Y.; Mario </w:t>
      </w:r>
      <w:proofErr w:type="spellStart"/>
      <w:r w:rsidRPr="00F117E9">
        <w:rPr>
          <w:rFonts w:ascii="&amp;quot" w:eastAsia="Times New Roman" w:hAnsi="&amp;quot" w:cs="Times New Roman"/>
          <w:color w:val="000000"/>
          <w:sz w:val="24"/>
          <w:szCs w:val="24"/>
        </w:rPr>
        <w:t>Vecchiarello</w:t>
      </w:r>
      <w:proofErr w:type="spellEnd"/>
      <w:r w:rsidRPr="00F117E9">
        <w:rPr>
          <w:rFonts w:ascii="&amp;quot" w:eastAsia="Times New Roman" w:hAnsi="&amp;quot" w:cs="Times New Roman"/>
          <w:color w:val="000000"/>
          <w:sz w:val="24"/>
          <w:szCs w:val="24"/>
        </w:rPr>
        <w:t xml:space="preserve">, PE, CEM, GBE; CDM Smith, Boston; and Kurt van </w:t>
      </w:r>
      <w:proofErr w:type="spellStart"/>
      <w:r w:rsidRPr="00F117E9">
        <w:rPr>
          <w:rFonts w:ascii="&amp;quot" w:eastAsia="Times New Roman" w:hAnsi="&amp;quot" w:cs="Times New Roman"/>
          <w:color w:val="000000"/>
          <w:sz w:val="24"/>
          <w:szCs w:val="24"/>
        </w:rPr>
        <w:t>Heiningen</w:t>
      </w:r>
      <w:proofErr w:type="spellEnd"/>
      <w:r w:rsidRPr="00F117E9">
        <w:rPr>
          <w:rFonts w:ascii="&amp;quot" w:eastAsia="Times New Roman" w:hAnsi="&amp;quot" w:cs="Times New Roman"/>
          <w:color w:val="000000"/>
          <w:sz w:val="24"/>
          <w:szCs w:val="24"/>
        </w:rPr>
        <w:t xml:space="preserve">, PE, CDM Smith, Hartford, Ct. </w:t>
      </w:r>
    </w:p>
    <w:p w14:paraId="528E9202"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Matthew Goss is vice president and technical strategy leader for infrastructure and energy with CDM Smith. </w:t>
      </w:r>
    </w:p>
    <w:p w14:paraId="428430CA"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Mario </w:t>
      </w:r>
      <w:proofErr w:type="spellStart"/>
      <w:r w:rsidRPr="00F117E9">
        <w:rPr>
          <w:rFonts w:ascii="&amp;quot" w:eastAsia="Times New Roman" w:hAnsi="&amp;quot" w:cs="Times New Roman"/>
          <w:color w:val="000000"/>
          <w:sz w:val="24"/>
          <w:szCs w:val="24"/>
        </w:rPr>
        <w:t>Vecchiarello</w:t>
      </w:r>
      <w:proofErr w:type="spellEnd"/>
      <w:r w:rsidRPr="00F117E9">
        <w:rPr>
          <w:rFonts w:ascii="&amp;quot" w:eastAsia="Times New Roman" w:hAnsi="&amp;quot" w:cs="Times New Roman"/>
          <w:color w:val="000000"/>
          <w:sz w:val="24"/>
          <w:szCs w:val="24"/>
        </w:rPr>
        <w:t xml:space="preserve"> is senior vice president and senior electrical engineer with CDM Smith. He is a member of the Consulting-Specifying Engineer editorial advisory board. </w:t>
      </w:r>
    </w:p>
    <w:p w14:paraId="64509BF5"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Kurt van </w:t>
      </w:r>
      <w:proofErr w:type="spellStart"/>
      <w:r w:rsidRPr="00F117E9">
        <w:rPr>
          <w:rFonts w:ascii="&amp;quot" w:eastAsia="Times New Roman" w:hAnsi="&amp;quot" w:cs="Times New Roman"/>
          <w:color w:val="000000"/>
          <w:sz w:val="24"/>
          <w:szCs w:val="24"/>
        </w:rPr>
        <w:t>Heiningen</w:t>
      </w:r>
      <w:proofErr w:type="spellEnd"/>
      <w:r w:rsidRPr="00F117E9">
        <w:rPr>
          <w:rFonts w:ascii="&amp;quot" w:eastAsia="Times New Roman" w:hAnsi="&amp;quot" w:cs="Times New Roman"/>
          <w:color w:val="000000"/>
          <w:sz w:val="24"/>
          <w:szCs w:val="24"/>
        </w:rPr>
        <w:t xml:space="preserve"> is a project manager with more than a decade of experience at CDM Smith. </w:t>
      </w:r>
    </w:p>
    <w:p w14:paraId="037BF966"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Learning OBJECTIVES </w:t>
      </w:r>
    </w:p>
    <w:p w14:paraId="461B670A" w14:textId="77777777" w:rsidR="00F117E9" w:rsidRPr="00F117E9" w:rsidRDefault="00F117E9" w:rsidP="00F117E9">
      <w:pPr>
        <w:spacing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noProof/>
          <w:color w:val="000000"/>
          <w:sz w:val="24"/>
          <w:szCs w:val="24"/>
        </w:rPr>
        <w:drawing>
          <wp:inline distT="0" distB="0" distL="0" distR="0" wp14:anchorId="47D2DE0E" wp14:editId="7F9D8FC8">
            <wp:extent cx="3971925" cy="2486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71925" cy="2486025"/>
                    </a:xfrm>
                    <a:prstGeom prst="rect">
                      <a:avLst/>
                    </a:prstGeom>
                    <a:noFill/>
                    <a:ln>
                      <a:noFill/>
                    </a:ln>
                  </pic:spPr>
                </pic:pic>
              </a:graphicData>
            </a:graphic>
          </wp:inline>
        </w:drawing>
      </w:r>
    </w:p>
    <w:p w14:paraId="244CD230"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 Understand how collaborative project delivery provides higher-quality projects via ongoing coordination and constructability reviews. </w:t>
      </w:r>
    </w:p>
    <w:p w14:paraId="32282FF7"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 Grasp ways in which collaborative project delivery better manages schedule by incorporating phasing and critical path items into construction documents. </w:t>
      </w:r>
    </w:p>
    <w:p w14:paraId="4AC4D6DE"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 Learn about how collaborative project delivery provides more value in the form of fewer delays, fewer change orders, and the selection of the best procurement method. </w:t>
      </w:r>
    </w:p>
    <w:p w14:paraId="7C73EF11"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lastRenderedPageBreak/>
        <w:t xml:space="preserve">Combining VDC and BIM for project success </w:t>
      </w:r>
    </w:p>
    <w:p w14:paraId="06A75903"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Virtual design and construction (VDC) </w:t>
      </w:r>
      <w:proofErr w:type="gramStart"/>
      <w:r w:rsidRPr="00F117E9">
        <w:rPr>
          <w:rFonts w:ascii="&amp;quot" w:eastAsia="Times New Roman" w:hAnsi="&amp;quot" w:cs="Times New Roman"/>
          <w:color w:val="000000"/>
          <w:sz w:val="24"/>
          <w:szCs w:val="24"/>
        </w:rPr>
        <w:t>is</w:t>
      </w:r>
      <w:proofErr w:type="gramEnd"/>
      <w:r w:rsidRPr="00F117E9">
        <w:rPr>
          <w:rFonts w:ascii="&amp;quot" w:eastAsia="Times New Roman" w:hAnsi="&amp;quot" w:cs="Times New Roman"/>
          <w:color w:val="000000"/>
          <w:sz w:val="24"/>
          <w:szCs w:val="24"/>
        </w:rPr>
        <w:t xml:space="preserve"> a process that fully integrates all elements of a project by openly sharing design and construction models among the team, from design through construction. The model can use 3-D elements or can be expanded to a 4-D model that incorporates the construction sequence. </w:t>
      </w:r>
    </w:p>
    <w:p w14:paraId="5D0E890D"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Using the resource-loaded schedule, this model could provide a 3-D illustration of the construction of the project over time. The model can again be expanded to 5-D, which also would include BIM data. This allows the team to quickly access the detailed design specifications and shop drawings of the actual equipment installed directly from the BIM model. </w:t>
      </w:r>
    </w:p>
    <w:p w14:paraId="11ACA412"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One of the key benefits of using the model during construction is that the contractors can place the 3-D model of the specific equipment being procured to ensure that equipment will fit in place without requiring extensive modifications. </w:t>
      </w:r>
    </w:p>
    <w:p w14:paraId="271F130B"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Other best practices for use of this information are to plan for equipment movements and to monitor physical construction versus anticipated construction. Through the process, a schedule-loaded model can be evaluated graphically, side-by-side against a visual of actual project progress, an easy indicator and representation of whether the project is behind, on, or ahead of schedule. </w:t>
      </w:r>
    </w:p>
    <w:p w14:paraId="6E2A51ED"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Smoother commissioning, startup, testing, and acceptance </w:t>
      </w:r>
    </w:p>
    <w:p w14:paraId="6895F57E"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As many engineers, architects, and contractors have experienced during their careers, the commissioning, start-up, testing, and acceptance phase of a project can be the most difficult to complete. Too often, there is little attention paid to this phase of the project early on during the design, which results in delays in turning over the project to the client. </w:t>
      </w:r>
    </w:p>
    <w:p w14:paraId="5BF7E17A"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Having the </w:t>
      </w:r>
      <w:proofErr w:type="gramStart"/>
      <w:r w:rsidRPr="00F117E9">
        <w:rPr>
          <w:rFonts w:ascii="&amp;quot" w:eastAsia="Times New Roman" w:hAnsi="&amp;quot" w:cs="Times New Roman"/>
          <w:color w:val="000000"/>
          <w:sz w:val="24"/>
          <w:szCs w:val="24"/>
        </w:rPr>
        <w:t>end product</w:t>
      </w:r>
      <w:proofErr w:type="gramEnd"/>
      <w:r w:rsidRPr="00F117E9">
        <w:rPr>
          <w:rFonts w:ascii="&amp;quot" w:eastAsia="Times New Roman" w:hAnsi="&amp;quot" w:cs="Times New Roman"/>
          <w:color w:val="000000"/>
          <w:sz w:val="24"/>
          <w:szCs w:val="24"/>
        </w:rPr>
        <w:t xml:space="preserve"> in mind with regard to commissioning and acceptance testing during the proposal, design execution, and construction/procurement phases of the project is imperative to ensure the final-acceptance schedule is maintained. For alternative-delivery projects, it is imperative that designers and the contractors coordinate early during the design phase to identify the commissioning needs and select the appropriate equipment to accomplish the requirements. </w:t>
      </w:r>
    </w:p>
    <w:p w14:paraId="4F91E514"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During the construction phase, continued collaboration between the designers and constructors is extremely important. For instance, there typically are multiple vendors and equipment that meet the specification requirements, but one may be more difficult to commission or get acceptance, which could quickly offset the savings observed during procurement. Best practices include early identification and adoption of the project's commissioning plan, pre-functional and functional test checklists, and procedures. </w:t>
      </w:r>
    </w:p>
    <w:p w14:paraId="2B0E0F5A"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Addressing special inspections, permitting, and reviews </w:t>
      </w:r>
    </w:p>
    <w:p w14:paraId="556FB66D" w14:textId="77777777" w:rsidR="00F117E9" w:rsidRPr="00F117E9" w:rsidRDefault="00F117E9" w:rsidP="00F117E9">
      <w:pPr>
        <w:spacing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noProof/>
          <w:color w:val="000000"/>
          <w:sz w:val="24"/>
          <w:szCs w:val="24"/>
        </w:rPr>
        <w:lastRenderedPageBreak/>
        <w:drawing>
          <wp:inline distT="0" distB="0" distL="0" distR="0" wp14:anchorId="5AA1DD8C" wp14:editId="0EBD214C">
            <wp:extent cx="2809875" cy="2162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9875" cy="2162175"/>
                    </a:xfrm>
                    <a:prstGeom prst="rect">
                      <a:avLst/>
                    </a:prstGeom>
                    <a:noFill/>
                    <a:ln>
                      <a:noFill/>
                    </a:ln>
                  </pic:spPr>
                </pic:pic>
              </a:graphicData>
            </a:graphic>
          </wp:inline>
        </w:drawing>
      </w:r>
    </w:p>
    <w:p w14:paraId="39B65F6C"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Early discussion of necessary permits, reviews, inspections, and special inspections is crucial to maintaining the project schedule. By identifying and incorporating these requirements, the comprehensive project team can monitor and track critical action items. In addition, early identification of requirements may allow the project team to expedite the delivery of certain permit or review-package documents. </w:t>
      </w:r>
    </w:p>
    <w:p w14:paraId="24777453"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Best practices often including the project narrative, preliminary design report, and scope with permitting resources to determine the anticipated requirement far ahead of required submittals. It also may be prudent to communicate preliminary packages to demonstrate and confirm intent to appropriate authorities. </w:t>
      </w:r>
    </w:p>
    <w:p w14:paraId="15B64F93"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Accelerating the project schedule </w:t>
      </w:r>
    </w:p>
    <w:p w14:paraId="0E176F74"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Integrated project delivery (IPD) readily lends itself to accelerating a project schedule by bringing all team members together early and overlapping each part of the project. Because the designers and the contractors are on the same team, the design documents are frequently released as multiple construction packages. </w:t>
      </w:r>
    </w:p>
    <w:p w14:paraId="341B7FB2"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For instance, the initial sitework is typically the first construction package released to allow construction to begin prior to the completed design. Foundations also are a typical early start construction package that is developed with input from specialty trades. </w:t>
      </w:r>
    </w:p>
    <w:p w14:paraId="1DFE9F3E"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Trust is an essential component of a fully integrated team, which is often why it's best to work with a team that's worked together on past projects. A best practice used to ensure the construction packages are appropriately identified is to require all the design and construction professionals to attend collaboration meetings to identify the various constructions packages that meet the project objectives. These meetings will also ensure all stakeholders understand what critical information is needed by each discipline or trade so early construction packages are developed with the end in mind. </w:t>
      </w:r>
    </w:p>
    <w:p w14:paraId="4C2FBD41"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CASE STUDY: Collaborative delivery serves U.S. Coast Guard well </w:t>
      </w:r>
    </w:p>
    <w:p w14:paraId="5E7C3523"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lastRenderedPageBreak/>
        <w:t xml:space="preserve">Using a collaborative delivery process, CDM Smith was able to provide the fast-track design-build of the U.S. Coast Guard (USCG) </w:t>
      </w:r>
      <w:proofErr w:type="spellStart"/>
      <w:r w:rsidRPr="00F117E9">
        <w:rPr>
          <w:rFonts w:ascii="&amp;quot" w:eastAsia="Times New Roman" w:hAnsi="&amp;quot" w:cs="Times New Roman"/>
          <w:color w:val="000000"/>
          <w:sz w:val="24"/>
          <w:szCs w:val="24"/>
        </w:rPr>
        <w:t>multimission</w:t>
      </w:r>
      <w:proofErr w:type="spellEnd"/>
      <w:r w:rsidRPr="00F117E9">
        <w:rPr>
          <w:rFonts w:ascii="&amp;quot" w:eastAsia="Times New Roman" w:hAnsi="&amp;quot" w:cs="Times New Roman"/>
          <w:color w:val="000000"/>
          <w:sz w:val="24"/>
          <w:szCs w:val="24"/>
        </w:rPr>
        <w:t xml:space="preserve"> building and vessel-support facility to serve USCG operational needs in Cape May, N.J. The project included building a 2-story, 29,500-sq-ft U.S. Green Building Council LEED-certified </w:t>
      </w:r>
      <w:proofErr w:type="spellStart"/>
      <w:r w:rsidRPr="00F117E9">
        <w:rPr>
          <w:rFonts w:ascii="&amp;quot" w:eastAsia="Times New Roman" w:hAnsi="&amp;quot" w:cs="Times New Roman"/>
          <w:color w:val="000000"/>
          <w:sz w:val="24"/>
          <w:szCs w:val="24"/>
        </w:rPr>
        <w:t>multimission</w:t>
      </w:r>
      <w:proofErr w:type="spellEnd"/>
      <w:r w:rsidRPr="00F117E9">
        <w:rPr>
          <w:rFonts w:ascii="&amp;quot" w:eastAsia="Times New Roman" w:hAnsi="&amp;quot" w:cs="Times New Roman"/>
          <w:color w:val="000000"/>
          <w:sz w:val="24"/>
          <w:szCs w:val="24"/>
        </w:rPr>
        <w:t xml:space="preserve"> building and a 1-story 7,000-sq-ft vessel-support facility, including all sitework and utilities. Both buildings are pile-supported, pre-engineered steel-framed structures with masonry and metal architectural-panel exteriors and standing seam metal roofs. The 3.6-acre site is located adjacent to the cutter piers at Coast Guard Training Center Cape May. </w:t>
      </w:r>
    </w:p>
    <w:p w14:paraId="5E0F6757"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As part of the collaborative delivery process, the project team executed this project by overlapping various design and construction activities to shorten the overall project delivery and completion schedule. Collaboration between the USCG and CDM Smith design and construction staff very early in the project was a key reason for the project's success. This collaboration led to the development of a revised site plan that allowed for the simultaneous construction of the </w:t>
      </w:r>
      <w:proofErr w:type="spellStart"/>
      <w:r w:rsidRPr="00F117E9">
        <w:rPr>
          <w:rFonts w:ascii="&amp;quot" w:eastAsia="Times New Roman" w:hAnsi="&amp;quot" w:cs="Times New Roman"/>
          <w:color w:val="000000"/>
          <w:sz w:val="24"/>
          <w:szCs w:val="24"/>
        </w:rPr>
        <w:t>multimission</w:t>
      </w:r>
      <w:proofErr w:type="spellEnd"/>
      <w:r w:rsidRPr="00F117E9">
        <w:rPr>
          <w:rFonts w:ascii="&amp;quot" w:eastAsia="Times New Roman" w:hAnsi="&amp;quot" w:cs="Times New Roman"/>
          <w:color w:val="000000"/>
          <w:sz w:val="24"/>
          <w:szCs w:val="24"/>
        </w:rPr>
        <w:t xml:space="preserve"> and vessel-support buildings, which reduced construction time, and consequently less disruption to the USCG's other missions. </w:t>
      </w:r>
    </w:p>
    <w:p w14:paraId="0FFC5677"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Many of the future occupants of the </w:t>
      </w:r>
      <w:proofErr w:type="spellStart"/>
      <w:r w:rsidRPr="00F117E9">
        <w:rPr>
          <w:rFonts w:ascii="&amp;quot" w:eastAsia="Times New Roman" w:hAnsi="&amp;quot" w:cs="Times New Roman"/>
          <w:color w:val="000000"/>
          <w:sz w:val="24"/>
          <w:szCs w:val="24"/>
        </w:rPr>
        <w:t>multimission</w:t>
      </w:r>
      <w:proofErr w:type="spellEnd"/>
      <w:r w:rsidRPr="00F117E9">
        <w:rPr>
          <w:rFonts w:ascii="&amp;quot" w:eastAsia="Times New Roman" w:hAnsi="&amp;quot" w:cs="Times New Roman"/>
          <w:color w:val="000000"/>
          <w:sz w:val="24"/>
          <w:szCs w:val="24"/>
        </w:rPr>
        <w:t xml:space="preserve"> building were housed in buildings adjacent to or overlapping the project site. As a result, the request for proposal required the </w:t>
      </w:r>
      <w:proofErr w:type="spellStart"/>
      <w:r w:rsidRPr="00F117E9">
        <w:rPr>
          <w:rFonts w:ascii="&amp;quot" w:eastAsia="Times New Roman" w:hAnsi="&amp;quot" w:cs="Times New Roman"/>
          <w:color w:val="000000"/>
          <w:sz w:val="24"/>
          <w:szCs w:val="24"/>
        </w:rPr>
        <w:t>multimission</w:t>
      </w:r>
      <w:proofErr w:type="spellEnd"/>
      <w:r w:rsidRPr="00F117E9">
        <w:rPr>
          <w:rFonts w:ascii="&amp;quot" w:eastAsia="Times New Roman" w:hAnsi="&amp;quot" w:cs="Times New Roman"/>
          <w:color w:val="000000"/>
          <w:sz w:val="24"/>
          <w:szCs w:val="24"/>
        </w:rPr>
        <w:t xml:space="preserve"> building to be constructed first and turned over to the USCG before construction of the vessel-support facility could start. The consequence was a longer construction period and increased costs because contractors had to mobilize twice for the same project. </w:t>
      </w:r>
    </w:p>
    <w:p w14:paraId="5E8DCF3F"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Early in the project, the CDM Smith team reviewed the site layout and brainstormed an approach of shifting the two buildings' locations within the project site and repurposing a road that divided the building site into onsite parking. With this revised layout, the buildings scheduled for demolition that overlapped the project site could be preserved during construction. This allowed both buildings to be constructed concurrently. </w:t>
      </w:r>
    </w:p>
    <w:p w14:paraId="015490B0" w14:textId="77777777" w:rsidR="00F117E9" w:rsidRPr="00F117E9" w:rsidRDefault="00F117E9" w:rsidP="00F117E9">
      <w:pPr>
        <w:spacing w:before="100" w:beforeAutospacing="1" w:after="100" w:afterAutospacing="1"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color w:val="000000"/>
          <w:sz w:val="24"/>
          <w:szCs w:val="24"/>
        </w:rPr>
        <w:t xml:space="preserve">This approach was developed into a high-level site plan, with input from both the design and construction teams, and was then presented to the USCG. The plan required the relocation of some existing utilities, which were not in the original plans, but the USCG determined that this was a small trade-off for the simultaneous construction of the two buildings. The repurposed road was </w:t>
      </w:r>
      <w:proofErr w:type="gramStart"/>
      <w:r w:rsidRPr="00F117E9">
        <w:rPr>
          <w:rFonts w:ascii="&amp;quot" w:eastAsia="Times New Roman" w:hAnsi="&amp;quot" w:cs="Times New Roman"/>
          <w:color w:val="000000"/>
          <w:sz w:val="24"/>
          <w:szCs w:val="24"/>
        </w:rPr>
        <w:t>actually an</w:t>
      </w:r>
      <w:proofErr w:type="gramEnd"/>
      <w:r w:rsidRPr="00F117E9">
        <w:rPr>
          <w:rFonts w:ascii="&amp;quot" w:eastAsia="Times New Roman" w:hAnsi="&amp;quot" w:cs="Times New Roman"/>
          <w:color w:val="000000"/>
          <w:sz w:val="24"/>
          <w:szCs w:val="24"/>
        </w:rPr>
        <w:t xml:space="preserve"> unanticipated benefit to the USCG because trucks and boats were scheduled to travel frequently between the two buildings. Turning the road into part of the parking lot turned out to be a traffic-easing solution, which made transport between the two buildings easier. </w:t>
      </w:r>
    </w:p>
    <w:p w14:paraId="243F5986" w14:textId="77777777" w:rsidR="00F117E9" w:rsidRPr="00F117E9" w:rsidRDefault="00F117E9" w:rsidP="00F117E9">
      <w:pPr>
        <w:spacing w:line="240" w:lineRule="auto"/>
        <w:textAlignment w:val="baseline"/>
        <w:rPr>
          <w:rFonts w:ascii="&amp;quot" w:eastAsia="Times New Roman" w:hAnsi="&amp;quot" w:cs="Times New Roman"/>
          <w:color w:val="000000"/>
          <w:sz w:val="24"/>
          <w:szCs w:val="24"/>
        </w:rPr>
      </w:pPr>
      <w:r w:rsidRPr="00F117E9">
        <w:rPr>
          <w:rFonts w:ascii="&amp;quot" w:eastAsia="Times New Roman" w:hAnsi="&amp;quot" w:cs="Times New Roman"/>
          <w:noProof/>
          <w:color w:val="000000"/>
          <w:sz w:val="24"/>
          <w:szCs w:val="24"/>
        </w:rPr>
        <w:lastRenderedPageBreak/>
        <w:drawing>
          <wp:inline distT="0" distB="0" distL="0" distR="0" wp14:anchorId="08B3277F" wp14:editId="5BFEE02B">
            <wp:extent cx="3362325" cy="1657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2325" cy="1657350"/>
                    </a:xfrm>
                    <a:prstGeom prst="rect">
                      <a:avLst/>
                    </a:prstGeom>
                    <a:noFill/>
                    <a:ln>
                      <a:noFill/>
                    </a:ln>
                  </pic:spPr>
                </pic:pic>
              </a:graphicData>
            </a:graphic>
          </wp:inline>
        </w:drawing>
      </w:r>
    </w:p>
    <w:p w14:paraId="74004DAF" w14:textId="77777777" w:rsidR="00F117E9" w:rsidRDefault="00F117E9"/>
    <w:sectPr w:rsidR="00F11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7E9"/>
    <w:rsid w:val="00F11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1FB91"/>
  <w15:chartTrackingRefBased/>
  <w15:docId w15:val="{CAE37327-D9CD-4490-A647-F56D6FA85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813457">
      <w:bodyDiv w:val="1"/>
      <w:marLeft w:val="0"/>
      <w:marRight w:val="0"/>
      <w:marTop w:val="0"/>
      <w:marBottom w:val="0"/>
      <w:divBdr>
        <w:top w:val="none" w:sz="0" w:space="0" w:color="auto"/>
        <w:left w:val="none" w:sz="0" w:space="0" w:color="auto"/>
        <w:bottom w:val="none" w:sz="0" w:space="0" w:color="auto"/>
        <w:right w:val="none" w:sz="0" w:space="0" w:color="auto"/>
      </w:divBdr>
      <w:divsChild>
        <w:div w:id="821045500">
          <w:marLeft w:val="0"/>
          <w:marRight w:val="0"/>
          <w:marTop w:val="0"/>
          <w:marBottom w:val="240"/>
          <w:divBdr>
            <w:top w:val="none" w:sz="0" w:space="0" w:color="auto"/>
            <w:left w:val="none" w:sz="0" w:space="0" w:color="auto"/>
            <w:bottom w:val="none" w:sz="0" w:space="0" w:color="auto"/>
            <w:right w:val="none" w:sz="0" w:space="0" w:color="auto"/>
          </w:divBdr>
        </w:div>
        <w:div w:id="1609118840">
          <w:marLeft w:val="0"/>
          <w:marRight w:val="0"/>
          <w:marTop w:val="0"/>
          <w:marBottom w:val="240"/>
          <w:divBdr>
            <w:top w:val="none" w:sz="0" w:space="0" w:color="auto"/>
            <w:left w:val="none" w:sz="0" w:space="0" w:color="auto"/>
            <w:bottom w:val="none" w:sz="0" w:space="0" w:color="auto"/>
            <w:right w:val="none" w:sz="0" w:space="0" w:color="auto"/>
          </w:divBdr>
        </w:div>
        <w:div w:id="2088108578">
          <w:marLeft w:val="0"/>
          <w:marRight w:val="0"/>
          <w:marTop w:val="0"/>
          <w:marBottom w:val="240"/>
          <w:divBdr>
            <w:top w:val="none" w:sz="0" w:space="0" w:color="auto"/>
            <w:left w:val="none" w:sz="0" w:space="0" w:color="auto"/>
            <w:bottom w:val="none" w:sz="0" w:space="0" w:color="auto"/>
            <w:right w:val="none" w:sz="0" w:space="0" w:color="auto"/>
          </w:divBdr>
        </w:div>
        <w:div w:id="1375811753">
          <w:marLeft w:val="0"/>
          <w:marRight w:val="0"/>
          <w:marTop w:val="0"/>
          <w:marBottom w:val="240"/>
          <w:divBdr>
            <w:top w:val="none" w:sz="0" w:space="0" w:color="auto"/>
            <w:left w:val="none" w:sz="0" w:space="0" w:color="auto"/>
            <w:bottom w:val="none" w:sz="0" w:space="0" w:color="auto"/>
            <w:right w:val="none" w:sz="0" w:space="0" w:color="auto"/>
          </w:divBdr>
        </w:div>
        <w:div w:id="994182680">
          <w:marLeft w:val="0"/>
          <w:marRight w:val="0"/>
          <w:marTop w:val="0"/>
          <w:marBottom w:val="240"/>
          <w:divBdr>
            <w:top w:val="none" w:sz="0" w:space="0" w:color="auto"/>
            <w:left w:val="none" w:sz="0" w:space="0" w:color="auto"/>
            <w:bottom w:val="none" w:sz="0" w:space="0" w:color="auto"/>
            <w:right w:val="none" w:sz="0" w:space="0" w:color="auto"/>
          </w:divBdr>
        </w:div>
        <w:div w:id="1096942335">
          <w:marLeft w:val="0"/>
          <w:marRight w:val="0"/>
          <w:marTop w:val="0"/>
          <w:marBottom w:val="240"/>
          <w:divBdr>
            <w:top w:val="none" w:sz="0" w:space="0" w:color="auto"/>
            <w:left w:val="none" w:sz="0" w:space="0" w:color="auto"/>
            <w:bottom w:val="none" w:sz="0" w:space="0" w:color="auto"/>
            <w:right w:val="none" w:sz="0" w:space="0" w:color="auto"/>
          </w:divBdr>
        </w:div>
        <w:div w:id="25447822">
          <w:marLeft w:val="0"/>
          <w:marRight w:val="0"/>
          <w:marTop w:val="0"/>
          <w:marBottom w:val="240"/>
          <w:divBdr>
            <w:top w:val="none" w:sz="0" w:space="0" w:color="auto"/>
            <w:left w:val="none" w:sz="0" w:space="0" w:color="auto"/>
            <w:bottom w:val="none" w:sz="0" w:space="0" w:color="auto"/>
            <w:right w:val="none" w:sz="0" w:space="0" w:color="auto"/>
          </w:divBdr>
        </w:div>
        <w:div w:id="1775442832">
          <w:marLeft w:val="0"/>
          <w:marRight w:val="0"/>
          <w:marTop w:val="0"/>
          <w:marBottom w:val="240"/>
          <w:divBdr>
            <w:top w:val="none" w:sz="0" w:space="0" w:color="auto"/>
            <w:left w:val="none" w:sz="0" w:space="0" w:color="auto"/>
            <w:bottom w:val="none" w:sz="0" w:space="0" w:color="auto"/>
            <w:right w:val="none" w:sz="0" w:space="0" w:color="auto"/>
          </w:divBdr>
        </w:div>
        <w:div w:id="27412201">
          <w:marLeft w:val="0"/>
          <w:marRight w:val="0"/>
          <w:marTop w:val="0"/>
          <w:marBottom w:val="240"/>
          <w:divBdr>
            <w:top w:val="none" w:sz="0" w:space="0" w:color="auto"/>
            <w:left w:val="none" w:sz="0" w:space="0" w:color="auto"/>
            <w:bottom w:val="none" w:sz="0" w:space="0" w:color="auto"/>
            <w:right w:val="none" w:sz="0" w:space="0" w:color="auto"/>
          </w:divBdr>
        </w:div>
        <w:div w:id="1921334093">
          <w:marLeft w:val="0"/>
          <w:marRight w:val="0"/>
          <w:marTop w:val="0"/>
          <w:marBottom w:val="240"/>
          <w:divBdr>
            <w:top w:val="none" w:sz="0" w:space="0" w:color="auto"/>
            <w:left w:val="none" w:sz="0" w:space="0" w:color="auto"/>
            <w:bottom w:val="none" w:sz="0" w:space="0" w:color="auto"/>
            <w:right w:val="none" w:sz="0" w:space="0" w:color="auto"/>
          </w:divBdr>
        </w:div>
        <w:div w:id="381559269">
          <w:marLeft w:val="0"/>
          <w:marRight w:val="0"/>
          <w:marTop w:val="0"/>
          <w:marBottom w:val="240"/>
          <w:divBdr>
            <w:top w:val="none" w:sz="0" w:space="0" w:color="auto"/>
            <w:left w:val="none" w:sz="0" w:space="0" w:color="auto"/>
            <w:bottom w:val="none" w:sz="0" w:space="0" w:color="auto"/>
            <w:right w:val="none" w:sz="0" w:space="0" w:color="auto"/>
          </w:divBdr>
        </w:div>
        <w:div w:id="1513572778">
          <w:marLeft w:val="0"/>
          <w:marRight w:val="0"/>
          <w:marTop w:val="0"/>
          <w:marBottom w:val="240"/>
          <w:divBdr>
            <w:top w:val="none" w:sz="0" w:space="0" w:color="auto"/>
            <w:left w:val="none" w:sz="0" w:space="0" w:color="auto"/>
            <w:bottom w:val="none" w:sz="0" w:space="0" w:color="auto"/>
            <w:right w:val="none" w:sz="0" w:space="0" w:color="auto"/>
          </w:divBdr>
        </w:div>
        <w:div w:id="721903046">
          <w:marLeft w:val="0"/>
          <w:marRight w:val="0"/>
          <w:marTop w:val="0"/>
          <w:marBottom w:val="240"/>
          <w:divBdr>
            <w:top w:val="none" w:sz="0" w:space="0" w:color="auto"/>
            <w:left w:val="none" w:sz="0" w:space="0" w:color="auto"/>
            <w:bottom w:val="none" w:sz="0" w:space="0" w:color="auto"/>
            <w:right w:val="none" w:sz="0" w:space="0" w:color="auto"/>
          </w:divBdr>
        </w:div>
        <w:div w:id="192545867">
          <w:marLeft w:val="0"/>
          <w:marRight w:val="0"/>
          <w:marTop w:val="0"/>
          <w:marBottom w:val="240"/>
          <w:divBdr>
            <w:top w:val="none" w:sz="0" w:space="0" w:color="auto"/>
            <w:left w:val="none" w:sz="0" w:space="0" w:color="auto"/>
            <w:bottom w:val="none" w:sz="0" w:space="0" w:color="auto"/>
            <w:right w:val="none" w:sz="0" w:space="0" w:color="auto"/>
          </w:divBdr>
        </w:div>
        <w:div w:id="899903038">
          <w:marLeft w:val="0"/>
          <w:marRight w:val="0"/>
          <w:marTop w:val="0"/>
          <w:marBottom w:val="240"/>
          <w:divBdr>
            <w:top w:val="none" w:sz="0" w:space="0" w:color="auto"/>
            <w:left w:val="none" w:sz="0" w:space="0" w:color="auto"/>
            <w:bottom w:val="none" w:sz="0" w:space="0" w:color="auto"/>
            <w:right w:val="none" w:sz="0" w:space="0" w:color="auto"/>
          </w:divBdr>
        </w:div>
        <w:div w:id="1824659275">
          <w:marLeft w:val="0"/>
          <w:marRight w:val="0"/>
          <w:marTop w:val="0"/>
          <w:marBottom w:val="240"/>
          <w:divBdr>
            <w:top w:val="none" w:sz="0" w:space="0" w:color="auto"/>
            <w:left w:val="none" w:sz="0" w:space="0" w:color="auto"/>
            <w:bottom w:val="none" w:sz="0" w:space="0" w:color="auto"/>
            <w:right w:val="none" w:sz="0" w:space="0" w:color="auto"/>
          </w:divBdr>
        </w:div>
        <w:div w:id="635838117">
          <w:marLeft w:val="0"/>
          <w:marRight w:val="0"/>
          <w:marTop w:val="0"/>
          <w:marBottom w:val="240"/>
          <w:divBdr>
            <w:top w:val="none" w:sz="0" w:space="0" w:color="auto"/>
            <w:left w:val="none" w:sz="0" w:space="0" w:color="auto"/>
            <w:bottom w:val="none" w:sz="0" w:space="0" w:color="auto"/>
            <w:right w:val="none" w:sz="0" w:space="0" w:color="auto"/>
          </w:divBdr>
        </w:div>
        <w:div w:id="545874685">
          <w:marLeft w:val="0"/>
          <w:marRight w:val="0"/>
          <w:marTop w:val="0"/>
          <w:marBottom w:val="240"/>
          <w:divBdr>
            <w:top w:val="none" w:sz="0" w:space="0" w:color="auto"/>
            <w:left w:val="none" w:sz="0" w:space="0" w:color="auto"/>
            <w:bottom w:val="none" w:sz="0" w:space="0" w:color="auto"/>
            <w:right w:val="none" w:sz="0" w:space="0" w:color="auto"/>
          </w:divBdr>
        </w:div>
        <w:div w:id="411239976">
          <w:marLeft w:val="0"/>
          <w:marRight w:val="0"/>
          <w:marTop w:val="0"/>
          <w:marBottom w:val="240"/>
          <w:divBdr>
            <w:top w:val="none" w:sz="0" w:space="0" w:color="auto"/>
            <w:left w:val="none" w:sz="0" w:space="0" w:color="auto"/>
            <w:bottom w:val="none" w:sz="0" w:space="0" w:color="auto"/>
            <w:right w:val="none" w:sz="0" w:space="0" w:color="auto"/>
          </w:divBdr>
        </w:div>
        <w:div w:id="1003432028">
          <w:marLeft w:val="0"/>
          <w:marRight w:val="0"/>
          <w:marTop w:val="0"/>
          <w:marBottom w:val="240"/>
          <w:divBdr>
            <w:top w:val="none" w:sz="0" w:space="0" w:color="auto"/>
            <w:left w:val="none" w:sz="0" w:space="0" w:color="auto"/>
            <w:bottom w:val="none" w:sz="0" w:space="0" w:color="auto"/>
            <w:right w:val="none" w:sz="0" w:space="0" w:color="auto"/>
          </w:divBdr>
        </w:div>
        <w:div w:id="1583681728">
          <w:marLeft w:val="0"/>
          <w:marRight w:val="0"/>
          <w:marTop w:val="0"/>
          <w:marBottom w:val="240"/>
          <w:divBdr>
            <w:top w:val="none" w:sz="0" w:space="0" w:color="auto"/>
            <w:left w:val="none" w:sz="0" w:space="0" w:color="auto"/>
            <w:bottom w:val="none" w:sz="0" w:space="0" w:color="auto"/>
            <w:right w:val="none" w:sz="0" w:space="0" w:color="auto"/>
          </w:divBdr>
        </w:div>
        <w:div w:id="706174378">
          <w:marLeft w:val="0"/>
          <w:marRight w:val="0"/>
          <w:marTop w:val="0"/>
          <w:marBottom w:val="240"/>
          <w:divBdr>
            <w:top w:val="none" w:sz="0" w:space="0" w:color="auto"/>
            <w:left w:val="none" w:sz="0" w:space="0" w:color="auto"/>
            <w:bottom w:val="none" w:sz="0" w:space="0" w:color="auto"/>
            <w:right w:val="none" w:sz="0" w:space="0" w:color="auto"/>
          </w:divBdr>
        </w:div>
        <w:div w:id="2044403384">
          <w:marLeft w:val="0"/>
          <w:marRight w:val="0"/>
          <w:marTop w:val="0"/>
          <w:marBottom w:val="240"/>
          <w:divBdr>
            <w:top w:val="none" w:sz="0" w:space="0" w:color="auto"/>
            <w:left w:val="none" w:sz="0" w:space="0" w:color="auto"/>
            <w:bottom w:val="none" w:sz="0" w:space="0" w:color="auto"/>
            <w:right w:val="none" w:sz="0" w:space="0" w:color="auto"/>
          </w:divBdr>
        </w:div>
        <w:div w:id="2138260512">
          <w:marLeft w:val="0"/>
          <w:marRight w:val="0"/>
          <w:marTop w:val="0"/>
          <w:marBottom w:val="240"/>
          <w:divBdr>
            <w:top w:val="none" w:sz="0" w:space="0" w:color="auto"/>
            <w:left w:val="none" w:sz="0" w:space="0" w:color="auto"/>
            <w:bottom w:val="none" w:sz="0" w:space="0" w:color="auto"/>
            <w:right w:val="none" w:sz="0" w:space="0" w:color="auto"/>
          </w:divBdr>
        </w:div>
        <w:div w:id="530994368">
          <w:marLeft w:val="0"/>
          <w:marRight w:val="0"/>
          <w:marTop w:val="0"/>
          <w:marBottom w:val="240"/>
          <w:divBdr>
            <w:top w:val="none" w:sz="0" w:space="0" w:color="auto"/>
            <w:left w:val="none" w:sz="0" w:space="0" w:color="auto"/>
            <w:bottom w:val="none" w:sz="0" w:space="0" w:color="auto"/>
            <w:right w:val="none" w:sz="0" w:space="0" w:color="auto"/>
          </w:divBdr>
        </w:div>
        <w:div w:id="1635260166">
          <w:marLeft w:val="0"/>
          <w:marRight w:val="0"/>
          <w:marTop w:val="0"/>
          <w:marBottom w:val="240"/>
          <w:divBdr>
            <w:top w:val="none" w:sz="0" w:space="0" w:color="auto"/>
            <w:left w:val="none" w:sz="0" w:space="0" w:color="auto"/>
            <w:bottom w:val="none" w:sz="0" w:space="0" w:color="auto"/>
            <w:right w:val="none" w:sz="0" w:space="0" w:color="auto"/>
          </w:divBdr>
        </w:div>
        <w:div w:id="1615138813">
          <w:marLeft w:val="0"/>
          <w:marRight w:val="0"/>
          <w:marTop w:val="0"/>
          <w:marBottom w:val="240"/>
          <w:divBdr>
            <w:top w:val="none" w:sz="0" w:space="0" w:color="auto"/>
            <w:left w:val="none" w:sz="0" w:space="0" w:color="auto"/>
            <w:bottom w:val="none" w:sz="0" w:space="0" w:color="auto"/>
            <w:right w:val="none" w:sz="0" w:space="0" w:color="auto"/>
          </w:divBdr>
        </w:div>
        <w:div w:id="1465587962">
          <w:marLeft w:val="0"/>
          <w:marRight w:val="0"/>
          <w:marTop w:val="0"/>
          <w:marBottom w:val="240"/>
          <w:divBdr>
            <w:top w:val="none" w:sz="0" w:space="0" w:color="auto"/>
            <w:left w:val="none" w:sz="0" w:space="0" w:color="auto"/>
            <w:bottom w:val="none" w:sz="0" w:space="0" w:color="auto"/>
            <w:right w:val="none" w:sz="0" w:space="0" w:color="auto"/>
          </w:divBdr>
        </w:div>
        <w:div w:id="835419132">
          <w:marLeft w:val="0"/>
          <w:marRight w:val="0"/>
          <w:marTop w:val="0"/>
          <w:marBottom w:val="240"/>
          <w:divBdr>
            <w:top w:val="none" w:sz="0" w:space="0" w:color="auto"/>
            <w:left w:val="none" w:sz="0" w:space="0" w:color="auto"/>
            <w:bottom w:val="none" w:sz="0" w:space="0" w:color="auto"/>
            <w:right w:val="none" w:sz="0" w:space="0" w:color="auto"/>
          </w:divBdr>
        </w:div>
        <w:div w:id="446856842">
          <w:marLeft w:val="0"/>
          <w:marRight w:val="0"/>
          <w:marTop w:val="0"/>
          <w:marBottom w:val="240"/>
          <w:divBdr>
            <w:top w:val="none" w:sz="0" w:space="0" w:color="auto"/>
            <w:left w:val="none" w:sz="0" w:space="0" w:color="auto"/>
            <w:bottom w:val="none" w:sz="0" w:space="0" w:color="auto"/>
            <w:right w:val="none" w:sz="0" w:space="0" w:color="auto"/>
          </w:divBdr>
        </w:div>
        <w:div w:id="446851906">
          <w:marLeft w:val="0"/>
          <w:marRight w:val="0"/>
          <w:marTop w:val="0"/>
          <w:marBottom w:val="240"/>
          <w:divBdr>
            <w:top w:val="none" w:sz="0" w:space="0" w:color="auto"/>
            <w:left w:val="none" w:sz="0" w:space="0" w:color="auto"/>
            <w:bottom w:val="none" w:sz="0" w:space="0" w:color="auto"/>
            <w:right w:val="none" w:sz="0" w:space="0" w:color="auto"/>
          </w:divBdr>
        </w:div>
        <w:div w:id="1606306128">
          <w:marLeft w:val="0"/>
          <w:marRight w:val="0"/>
          <w:marTop w:val="0"/>
          <w:marBottom w:val="240"/>
          <w:divBdr>
            <w:top w:val="none" w:sz="0" w:space="0" w:color="auto"/>
            <w:left w:val="none" w:sz="0" w:space="0" w:color="auto"/>
            <w:bottom w:val="none" w:sz="0" w:space="0" w:color="auto"/>
            <w:right w:val="none" w:sz="0" w:space="0" w:color="auto"/>
          </w:divBdr>
        </w:div>
        <w:div w:id="337973374">
          <w:marLeft w:val="0"/>
          <w:marRight w:val="0"/>
          <w:marTop w:val="0"/>
          <w:marBottom w:val="240"/>
          <w:divBdr>
            <w:top w:val="none" w:sz="0" w:space="0" w:color="auto"/>
            <w:left w:val="none" w:sz="0" w:space="0" w:color="auto"/>
            <w:bottom w:val="none" w:sz="0" w:space="0" w:color="auto"/>
            <w:right w:val="none" w:sz="0" w:space="0" w:color="auto"/>
          </w:divBdr>
        </w:div>
        <w:div w:id="911428466">
          <w:marLeft w:val="0"/>
          <w:marRight w:val="0"/>
          <w:marTop w:val="0"/>
          <w:marBottom w:val="240"/>
          <w:divBdr>
            <w:top w:val="none" w:sz="0" w:space="0" w:color="auto"/>
            <w:left w:val="none" w:sz="0" w:space="0" w:color="auto"/>
            <w:bottom w:val="none" w:sz="0" w:space="0" w:color="auto"/>
            <w:right w:val="none" w:sz="0" w:space="0" w:color="auto"/>
          </w:divBdr>
        </w:div>
        <w:div w:id="1986010668">
          <w:marLeft w:val="0"/>
          <w:marRight w:val="0"/>
          <w:marTop w:val="0"/>
          <w:marBottom w:val="240"/>
          <w:divBdr>
            <w:top w:val="none" w:sz="0" w:space="0" w:color="auto"/>
            <w:left w:val="none" w:sz="0" w:space="0" w:color="auto"/>
            <w:bottom w:val="none" w:sz="0" w:space="0" w:color="auto"/>
            <w:right w:val="none" w:sz="0" w:space="0" w:color="auto"/>
          </w:divBdr>
        </w:div>
        <w:div w:id="80030826">
          <w:marLeft w:val="0"/>
          <w:marRight w:val="0"/>
          <w:marTop w:val="0"/>
          <w:marBottom w:val="240"/>
          <w:divBdr>
            <w:top w:val="none" w:sz="0" w:space="0" w:color="auto"/>
            <w:left w:val="none" w:sz="0" w:space="0" w:color="auto"/>
            <w:bottom w:val="none" w:sz="0" w:space="0" w:color="auto"/>
            <w:right w:val="none" w:sz="0" w:space="0" w:color="auto"/>
          </w:divBdr>
        </w:div>
        <w:div w:id="1882284539">
          <w:marLeft w:val="0"/>
          <w:marRight w:val="0"/>
          <w:marTop w:val="0"/>
          <w:marBottom w:val="240"/>
          <w:divBdr>
            <w:top w:val="none" w:sz="0" w:space="0" w:color="auto"/>
            <w:left w:val="none" w:sz="0" w:space="0" w:color="auto"/>
            <w:bottom w:val="none" w:sz="0" w:space="0" w:color="auto"/>
            <w:right w:val="none" w:sz="0" w:space="0" w:color="auto"/>
          </w:divBdr>
        </w:div>
        <w:div w:id="2101561983">
          <w:marLeft w:val="0"/>
          <w:marRight w:val="0"/>
          <w:marTop w:val="0"/>
          <w:marBottom w:val="240"/>
          <w:divBdr>
            <w:top w:val="none" w:sz="0" w:space="0" w:color="auto"/>
            <w:left w:val="none" w:sz="0" w:space="0" w:color="auto"/>
            <w:bottom w:val="none" w:sz="0" w:space="0" w:color="auto"/>
            <w:right w:val="none" w:sz="0" w:space="0" w:color="auto"/>
          </w:divBdr>
        </w:div>
        <w:div w:id="79523803">
          <w:marLeft w:val="0"/>
          <w:marRight w:val="0"/>
          <w:marTop w:val="0"/>
          <w:marBottom w:val="240"/>
          <w:divBdr>
            <w:top w:val="none" w:sz="0" w:space="0" w:color="auto"/>
            <w:left w:val="none" w:sz="0" w:space="0" w:color="auto"/>
            <w:bottom w:val="none" w:sz="0" w:space="0" w:color="auto"/>
            <w:right w:val="none" w:sz="0" w:space="0" w:color="auto"/>
          </w:divBdr>
        </w:div>
        <w:div w:id="1045254180">
          <w:marLeft w:val="0"/>
          <w:marRight w:val="0"/>
          <w:marTop w:val="0"/>
          <w:marBottom w:val="240"/>
          <w:divBdr>
            <w:top w:val="none" w:sz="0" w:space="0" w:color="auto"/>
            <w:left w:val="none" w:sz="0" w:space="0" w:color="auto"/>
            <w:bottom w:val="none" w:sz="0" w:space="0" w:color="auto"/>
            <w:right w:val="none" w:sz="0" w:space="0" w:color="auto"/>
          </w:divBdr>
        </w:div>
        <w:div w:id="529100769">
          <w:marLeft w:val="0"/>
          <w:marRight w:val="0"/>
          <w:marTop w:val="0"/>
          <w:marBottom w:val="240"/>
          <w:divBdr>
            <w:top w:val="none" w:sz="0" w:space="0" w:color="auto"/>
            <w:left w:val="none" w:sz="0" w:space="0" w:color="auto"/>
            <w:bottom w:val="none" w:sz="0" w:space="0" w:color="auto"/>
            <w:right w:val="none" w:sz="0" w:space="0" w:color="auto"/>
          </w:divBdr>
        </w:div>
        <w:div w:id="768938444">
          <w:marLeft w:val="0"/>
          <w:marRight w:val="0"/>
          <w:marTop w:val="0"/>
          <w:marBottom w:val="240"/>
          <w:divBdr>
            <w:top w:val="none" w:sz="0" w:space="0" w:color="auto"/>
            <w:left w:val="none" w:sz="0" w:space="0" w:color="auto"/>
            <w:bottom w:val="none" w:sz="0" w:space="0" w:color="auto"/>
            <w:right w:val="none" w:sz="0" w:space="0" w:color="auto"/>
          </w:divBdr>
        </w:div>
        <w:div w:id="1286083462">
          <w:marLeft w:val="0"/>
          <w:marRight w:val="0"/>
          <w:marTop w:val="0"/>
          <w:marBottom w:val="240"/>
          <w:divBdr>
            <w:top w:val="none" w:sz="0" w:space="0" w:color="auto"/>
            <w:left w:val="none" w:sz="0" w:space="0" w:color="auto"/>
            <w:bottom w:val="none" w:sz="0" w:space="0" w:color="auto"/>
            <w:right w:val="none" w:sz="0" w:space="0" w:color="auto"/>
          </w:divBdr>
        </w:div>
        <w:div w:id="297222894">
          <w:marLeft w:val="0"/>
          <w:marRight w:val="0"/>
          <w:marTop w:val="0"/>
          <w:marBottom w:val="240"/>
          <w:divBdr>
            <w:top w:val="none" w:sz="0" w:space="0" w:color="auto"/>
            <w:left w:val="none" w:sz="0" w:space="0" w:color="auto"/>
            <w:bottom w:val="none" w:sz="0" w:space="0" w:color="auto"/>
            <w:right w:val="none" w:sz="0" w:space="0" w:color="auto"/>
          </w:divBdr>
        </w:div>
        <w:div w:id="1398896980">
          <w:marLeft w:val="0"/>
          <w:marRight w:val="0"/>
          <w:marTop w:val="0"/>
          <w:marBottom w:val="240"/>
          <w:divBdr>
            <w:top w:val="none" w:sz="0" w:space="0" w:color="auto"/>
            <w:left w:val="none" w:sz="0" w:space="0" w:color="auto"/>
            <w:bottom w:val="none" w:sz="0" w:space="0" w:color="auto"/>
            <w:right w:val="none" w:sz="0" w:space="0" w:color="auto"/>
          </w:divBdr>
        </w:div>
        <w:div w:id="810710319">
          <w:marLeft w:val="0"/>
          <w:marRight w:val="0"/>
          <w:marTop w:val="0"/>
          <w:marBottom w:val="240"/>
          <w:divBdr>
            <w:top w:val="none" w:sz="0" w:space="0" w:color="auto"/>
            <w:left w:val="none" w:sz="0" w:space="0" w:color="auto"/>
            <w:bottom w:val="none" w:sz="0" w:space="0" w:color="auto"/>
            <w:right w:val="none" w:sz="0" w:space="0" w:color="auto"/>
          </w:divBdr>
        </w:div>
        <w:div w:id="799496861">
          <w:marLeft w:val="0"/>
          <w:marRight w:val="0"/>
          <w:marTop w:val="0"/>
          <w:marBottom w:val="240"/>
          <w:divBdr>
            <w:top w:val="none" w:sz="0" w:space="0" w:color="auto"/>
            <w:left w:val="none" w:sz="0" w:space="0" w:color="auto"/>
            <w:bottom w:val="none" w:sz="0" w:space="0" w:color="auto"/>
            <w:right w:val="none" w:sz="0" w:space="0" w:color="auto"/>
          </w:divBdr>
        </w:div>
        <w:div w:id="1851985729">
          <w:marLeft w:val="0"/>
          <w:marRight w:val="0"/>
          <w:marTop w:val="0"/>
          <w:marBottom w:val="240"/>
          <w:divBdr>
            <w:top w:val="none" w:sz="0" w:space="0" w:color="auto"/>
            <w:left w:val="none" w:sz="0" w:space="0" w:color="auto"/>
            <w:bottom w:val="none" w:sz="0" w:space="0" w:color="auto"/>
            <w:right w:val="none" w:sz="0" w:space="0" w:color="auto"/>
          </w:divBdr>
        </w:div>
        <w:div w:id="1141382634">
          <w:marLeft w:val="0"/>
          <w:marRight w:val="0"/>
          <w:marTop w:val="0"/>
          <w:marBottom w:val="240"/>
          <w:divBdr>
            <w:top w:val="none" w:sz="0" w:space="0" w:color="auto"/>
            <w:left w:val="none" w:sz="0" w:space="0" w:color="auto"/>
            <w:bottom w:val="none" w:sz="0" w:space="0" w:color="auto"/>
            <w:right w:val="none" w:sz="0" w:space="0" w:color="auto"/>
          </w:divBdr>
        </w:div>
        <w:div w:id="697045066">
          <w:marLeft w:val="0"/>
          <w:marRight w:val="0"/>
          <w:marTop w:val="0"/>
          <w:marBottom w:val="240"/>
          <w:divBdr>
            <w:top w:val="none" w:sz="0" w:space="0" w:color="auto"/>
            <w:left w:val="none" w:sz="0" w:space="0" w:color="auto"/>
            <w:bottom w:val="none" w:sz="0" w:space="0" w:color="auto"/>
            <w:right w:val="none" w:sz="0" w:space="0" w:color="auto"/>
          </w:divBdr>
        </w:div>
        <w:div w:id="196059841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2907</Words>
  <Characters>16575</Characters>
  <Application>Microsoft Office Word</Application>
  <DocSecurity>0</DocSecurity>
  <Lines>138</Lines>
  <Paragraphs>38</Paragraphs>
  <ScaleCrop>false</ScaleCrop>
  <Company/>
  <LinksUpToDate>false</LinksUpToDate>
  <CharactersWithSpaces>19444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2020-01-22T19:10:00Z</dcterms:created>
  <dcterms:modified xsi:type="dcterms:W3CDTF">2020-01-22T19:12:00Z</dcterms:modified>
</cp:coreProperties>
</file>